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A5" w:rsidRDefault="00AE617E" w:rsidP="00AE617E">
      <w:pPr>
        <w:jc w:val="right"/>
      </w:pPr>
      <w:r>
        <w:t xml:space="preserve">Szczecin, </w:t>
      </w:r>
      <w:r w:rsidR="00735578">
        <w:t>5 maja 2012</w:t>
      </w:r>
      <w:r w:rsidR="00652ADB">
        <w:t xml:space="preserve"> r.</w:t>
      </w:r>
    </w:p>
    <w:p w:rsidR="008D1930" w:rsidRDefault="008D1930" w:rsidP="008D1930">
      <w:pPr>
        <w:tabs>
          <w:tab w:val="left" w:pos="5670"/>
        </w:tabs>
        <w:spacing w:after="0"/>
        <w:jc w:val="both"/>
      </w:pPr>
    </w:p>
    <w:p w:rsidR="008D1930" w:rsidRDefault="008D1930" w:rsidP="008D1930">
      <w:pPr>
        <w:tabs>
          <w:tab w:val="left" w:pos="5670"/>
        </w:tabs>
        <w:spacing w:after="0"/>
        <w:jc w:val="both"/>
      </w:pPr>
      <w:r>
        <w:t>Maria Konopnicka</w:t>
      </w:r>
    </w:p>
    <w:p w:rsidR="008D1930" w:rsidRDefault="008D1930" w:rsidP="008D1930">
      <w:pPr>
        <w:tabs>
          <w:tab w:val="left" w:pos="5670"/>
        </w:tabs>
        <w:spacing w:after="0"/>
        <w:jc w:val="both"/>
      </w:pPr>
      <w:r>
        <w:t>ul. Jana z Blanta 30/3</w:t>
      </w:r>
    </w:p>
    <w:p w:rsidR="008D1930" w:rsidRDefault="00C63819" w:rsidP="008D1930">
      <w:pPr>
        <w:tabs>
          <w:tab w:val="left" w:pos="5670"/>
        </w:tabs>
        <w:spacing w:after="0"/>
        <w:jc w:val="both"/>
      </w:pPr>
      <w:r>
        <w:t xml:space="preserve">70-300 </w:t>
      </w:r>
      <w:r w:rsidR="008D1930">
        <w:t>Szczecin</w:t>
      </w:r>
    </w:p>
    <w:p w:rsidR="008D1930" w:rsidRDefault="008D1930" w:rsidP="00E80A80">
      <w:pPr>
        <w:tabs>
          <w:tab w:val="left" w:pos="5670"/>
        </w:tabs>
        <w:spacing w:after="0"/>
        <w:jc w:val="both"/>
      </w:pPr>
    </w:p>
    <w:p w:rsidR="00B644D6" w:rsidRDefault="008D1930" w:rsidP="00E80A80">
      <w:pPr>
        <w:tabs>
          <w:tab w:val="left" w:pos="5670"/>
        </w:tabs>
        <w:spacing w:after="0"/>
        <w:jc w:val="both"/>
      </w:pPr>
      <w:r>
        <w:tab/>
      </w:r>
      <w:r w:rsidR="00E80A80">
        <w:t xml:space="preserve">Prokuratura Rejonowa </w:t>
      </w:r>
    </w:p>
    <w:p w:rsidR="00E80A80" w:rsidRDefault="00E80A80" w:rsidP="00E80A80">
      <w:pPr>
        <w:tabs>
          <w:tab w:val="left" w:pos="5670"/>
        </w:tabs>
        <w:spacing w:after="0"/>
        <w:jc w:val="both"/>
      </w:pPr>
      <w:r>
        <w:tab/>
        <w:t>Szczecin – Niebuszewo w Szczecinie</w:t>
      </w:r>
    </w:p>
    <w:p w:rsidR="00E80A80" w:rsidRDefault="00E80A80" w:rsidP="00E80A80">
      <w:pPr>
        <w:tabs>
          <w:tab w:val="left" w:pos="5670"/>
        </w:tabs>
        <w:spacing w:after="0"/>
        <w:jc w:val="both"/>
      </w:pPr>
      <w:r>
        <w:tab/>
        <w:t>ul. Stoisława 6</w:t>
      </w:r>
    </w:p>
    <w:p w:rsidR="008D1930" w:rsidRDefault="008D1930" w:rsidP="00E80A80">
      <w:pPr>
        <w:tabs>
          <w:tab w:val="left" w:pos="5670"/>
        </w:tabs>
        <w:spacing w:after="0"/>
        <w:jc w:val="both"/>
      </w:pPr>
    </w:p>
    <w:p w:rsidR="008D1930" w:rsidRDefault="008D1930" w:rsidP="008D1930">
      <w:pPr>
        <w:rPr>
          <w:b/>
        </w:rPr>
      </w:pPr>
      <w:r>
        <w:t xml:space="preserve">Dotyczy sprawy: </w:t>
      </w:r>
      <w:r w:rsidRPr="008D1930">
        <w:rPr>
          <w:b/>
        </w:rPr>
        <w:t>Sygn. akt: 1 Ds</w:t>
      </w:r>
      <w:r w:rsidR="00C63819">
        <w:rPr>
          <w:b/>
        </w:rPr>
        <w:t xml:space="preserve"> 1234</w:t>
      </w:r>
      <w:r w:rsidRPr="008D1930">
        <w:rPr>
          <w:b/>
        </w:rPr>
        <w:t>/12</w:t>
      </w:r>
    </w:p>
    <w:p w:rsidR="008D1930" w:rsidRDefault="008D1930" w:rsidP="008D1930">
      <w:pPr>
        <w:rPr>
          <w:b/>
        </w:rPr>
      </w:pPr>
    </w:p>
    <w:p w:rsidR="00C63819" w:rsidRDefault="00C63819" w:rsidP="008370A5">
      <w:pPr>
        <w:spacing w:after="0"/>
        <w:jc w:val="center"/>
        <w:rPr>
          <w:b/>
          <w:sz w:val="28"/>
        </w:rPr>
      </w:pPr>
      <w:r w:rsidRPr="00C63819">
        <w:rPr>
          <w:b/>
          <w:sz w:val="28"/>
        </w:rPr>
        <w:t>WNIOSEK</w:t>
      </w:r>
    </w:p>
    <w:p w:rsidR="00C63819" w:rsidRPr="00B63BE1" w:rsidRDefault="008370A5" w:rsidP="008370A5">
      <w:pPr>
        <w:spacing w:after="0"/>
        <w:jc w:val="center"/>
        <w:rPr>
          <w:b/>
          <w:sz w:val="24"/>
        </w:rPr>
      </w:pPr>
      <w:r w:rsidRPr="00B63BE1">
        <w:rPr>
          <w:b/>
          <w:sz w:val="24"/>
        </w:rPr>
        <w:t>o umorzenie postępowania</w:t>
      </w:r>
    </w:p>
    <w:p w:rsidR="008370A5" w:rsidRPr="00B63BE1" w:rsidRDefault="008370A5" w:rsidP="008370A5">
      <w:pPr>
        <w:spacing w:after="0"/>
        <w:jc w:val="center"/>
      </w:pPr>
    </w:p>
    <w:p w:rsidR="00222BC3" w:rsidRPr="00B63BE1" w:rsidRDefault="00C63819" w:rsidP="008370A5">
      <w:pPr>
        <w:spacing w:after="0"/>
        <w:ind w:firstLine="709"/>
        <w:jc w:val="both"/>
      </w:pPr>
      <w:r w:rsidRPr="00B63BE1">
        <w:t>Na podstawie art.</w:t>
      </w:r>
      <w:r w:rsidRPr="00B63BE1">
        <w:rPr>
          <w:i/>
        </w:rPr>
        <w:t xml:space="preserve"> </w:t>
      </w:r>
      <w:r w:rsidRPr="00B63BE1">
        <w:rPr>
          <w:b/>
          <w:i/>
        </w:rPr>
        <w:t>17 §</w:t>
      </w:r>
      <w:r w:rsidR="000C2779" w:rsidRPr="00B63BE1">
        <w:rPr>
          <w:b/>
          <w:i/>
        </w:rPr>
        <w:t xml:space="preserve"> 1 pkt 3 kpk</w:t>
      </w:r>
      <w:r w:rsidR="000C2779" w:rsidRPr="00B63BE1">
        <w:rPr>
          <w:i/>
        </w:rPr>
        <w:t xml:space="preserve"> </w:t>
      </w:r>
      <w:r w:rsidR="000C2779" w:rsidRPr="00B63BE1">
        <w:t xml:space="preserve">i </w:t>
      </w:r>
      <w:r w:rsidRPr="00B63BE1">
        <w:t>art.</w:t>
      </w:r>
      <w:r w:rsidRPr="00B63BE1">
        <w:rPr>
          <w:i/>
        </w:rPr>
        <w:t xml:space="preserve"> </w:t>
      </w:r>
      <w:r w:rsidRPr="00B63BE1">
        <w:rPr>
          <w:b/>
          <w:i/>
        </w:rPr>
        <w:t>1 § 2 kk</w:t>
      </w:r>
      <w:r w:rsidRPr="00B63BE1">
        <w:t xml:space="preserve"> oraz art.</w:t>
      </w:r>
      <w:r w:rsidR="000C2779" w:rsidRPr="00B63BE1">
        <w:t xml:space="preserve"> </w:t>
      </w:r>
      <w:r w:rsidR="000C2779" w:rsidRPr="00B63BE1">
        <w:rPr>
          <w:b/>
          <w:i/>
        </w:rPr>
        <w:t xml:space="preserve">17 § 1 </w:t>
      </w:r>
      <w:r w:rsidRPr="00B63BE1">
        <w:rPr>
          <w:b/>
          <w:i/>
        </w:rPr>
        <w:t xml:space="preserve">pkt 11 </w:t>
      </w:r>
      <w:r w:rsidR="000C2779" w:rsidRPr="00B63BE1">
        <w:rPr>
          <w:b/>
          <w:i/>
        </w:rPr>
        <w:t xml:space="preserve">kpk </w:t>
      </w:r>
      <w:r w:rsidR="000C2779" w:rsidRPr="00B63BE1">
        <w:t>i art</w:t>
      </w:r>
      <w:r w:rsidR="000C2779" w:rsidRPr="00B63BE1">
        <w:rPr>
          <w:i/>
        </w:rPr>
        <w:t>.</w:t>
      </w:r>
      <w:r w:rsidR="000C2779" w:rsidRPr="00B63BE1">
        <w:rPr>
          <w:b/>
          <w:i/>
        </w:rPr>
        <w:t xml:space="preserve"> 62a UoPN</w:t>
      </w:r>
      <w:r w:rsidR="00215F0A" w:rsidRPr="00B63BE1">
        <w:t xml:space="preserve">, będąc podejrzanym o czyn określony w art. 62 UoPN, </w:t>
      </w:r>
      <w:r w:rsidR="000C2779" w:rsidRPr="00B63BE1">
        <w:t>wn</w:t>
      </w:r>
      <w:r w:rsidR="00CA6B89" w:rsidRPr="00B63BE1">
        <w:t>oszę o umorzenie postępow</w:t>
      </w:r>
      <w:r w:rsidR="00222BC3" w:rsidRPr="00B63BE1">
        <w:t>ania karnego prowadzonego przeciwko</w:t>
      </w:r>
      <w:r w:rsidR="00CA6B89" w:rsidRPr="00B63BE1">
        <w:t xml:space="preserve"> </w:t>
      </w:r>
      <w:r w:rsidR="00215F0A" w:rsidRPr="00B63BE1">
        <w:t xml:space="preserve">mnie wobec </w:t>
      </w:r>
    </w:p>
    <w:p w:rsidR="00222BC3" w:rsidRPr="00B63BE1" w:rsidRDefault="00215F0A" w:rsidP="00222BC3">
      <w:pPr>
        <w:pStyle w:val="Akapitzlist"/>
        <w:numPr>
          <w:ilvl w:val="0"/>
          <w:numId w:val="5"/>
        </w:numPr>
        <w:spacing w:after="0"/>
        <w:jc w:val="both"/>
      </w:pPr>
      <w:r w:rsidRPr="00B63BE1">
        <w:t xml:space="preserve">znikomej szkodliwości społecznej czynu oraz </w:t>
      </w:r>
    </w:p>
    <w:p w:rsidR="008370A5" w:rsidRPr="00B63BE1" w:rsidRDefault="00215F0A" w:rsidP="00222BC3">
      <w:pPr>
        <w:pStyle w:val="Akapitzlist"/>
        <w:numPr>
          <w:ilvl w:val="0"/>
          <w:numId w:val="5"/>
        </w:numPr>
        <w:spacing w:after="0"/>
        <w:jc w:val="both"/>
      </w:pPr>
      <w:r w:rsidRPr="00B63BE1">
        <w:t xml:space="preserve">spełnienia przesłanek określonych w art. 62a UoPN. </w:t>
      </w:r>
    </w:p>
    <w:p w:rsidR="008370A5" w:rsidRPr="00B63BE1" w:rsidRDefault="008370A5" w:rsidP="008370A5">
      <w:pPr>
        <w:spacing w:after="0"/>
        <w:jc w:val="both"/>
      </w:pPr>
    </w:p>
    <w:p w:rsidR="008370A5" w:rsidRPr="00B63BE1" w:rsidRDefault="008370A5" w:rsidP="008370A5">
      <w:pPr>
        <w:spacing w:after="0"/>
        <w:jc w:val="center"/>
        <w:rPr>
          <w:b/>
          <w:sz w:val="24"/>
        </w:rPr>
      </w:pPr>
      <w:r w:rsidRPr="00B63BE1">
        <w:rPr>
          <w:b/>
          <w:sz w:val="24"/>
        </w:rPr>
        <w:t>Uzasadnienie</w:t>
      </w:r>
    </w:p>
    <w:p w:rsidR="008370A5" w:rsidRDefault="008370A5" w:rsidP="008370A5">
      <w:pPr>
        <w:spacing w:after="0"/>
        <w:rPr>
          <w:b/>
          <w:sz w:val="24"/>
        </w:rPr>
      </w:pPr>
    </w:p>
    <w:p w:rsidR="008370A5" w:rsidRPr="00B63BE1" w:rsidRDefault="008370A5" w:rsidP="00744743">
      <w:pPr>
        <w:spacing w:after="0"/>
        <w:jc w:val="both"/>
      </w:pPr>
      <w:r w:rsidRPr="00B63BE1">
        <w:rPr>
          <w:b/>
        </w:rPr>
        <w:tab/>
      </w:r>
      <w:r w:rsidR="00652ADB" w:rsidRPr="00B63BE1">
        <w:t xml:space="preserve">W dniu 17 lutego 2012 r. zostałem zatrzymany w Szczecinie, będąc w posiadaniu 2,39 </w:t>
      </w:r>
      <w:r w:rsidR="00744743" w:rsidRPr="00B63BE1">
        <w:t xml:space="preserve">gramów suszu konopi w woreczku foliowym </w:t>
      </w:r>
      <w:r w:rsidR="00571DB5" w:rsidRPr="00B63BE1">
        <w:t xml:space="preserve">z zamknięciem strunowym. Okoliczności czynu nie budzą wątpliwości, przyznałem się bowiem do posiadania w/w substancji. </w:t>
      </w:r>
    </w:p>
    <w:p w:rsidR="0031666A" w:rsidRPr="00B63BE1" w:rsidRDefault="00571DB5" w:rsidP="00744743">
      <w:pPr>
        <w:spacing w:after="0"/>
        <w:jc w:val="both"/>
      </w:pPr>
      <w:r w:rsidRPr="00B63BE1">
        <w:tab/>
        <w:t>Susz konopi, który posia</w:t>
      </w:r>
      <w:r w:rsidR="00A96E54" w:rsidRPr="00B63BE1">
        <w:t>da</w:t>
      </w:r>
      <w:r w:rsidRPr="00B63BE1">
        <w:t>łe</w:t>
      </w:r>
      <w:r w:rsidR="00A96E54" w:rsidRPr="00B63BE1">
        <w:t>m zamierzałem skonsumować sam w domu tego samego wieczoru</w:t>
      </w:r>
      <w:r w:rsidR="0031666A" w:rsidRPr="00B63BE1">
        <w:t>. Substancja ta</w:t>
      </w:r>
      <w:r w:rsidR="00A96E54" w:rsidRPr="00B63BE1">
        <w:t xml:space="preserve"> bowiem działa na mnie uspokajająco i pomaga mi zasypiać, nie powodując sku</w:t>
      </w:r>
      <w:r w:rsidR="003C061E" w:rsidRPr="00B63BE1">
        <w:t>tków ubocznych jak dostępne w aptekach</w:t>
      </w:r>
      <w:r w:rsidR="00A96E54" w:rsidRPr="00B63BE1">
        <w:t xml:space="preserve"> lekarstwa. </w:t>
      </w:r>
    </w:p>
    <w:p w:rsidR="0031666A" w:rsidRPr="00B63BE1" w:rsidRDefault="00A96E54" w:rsidP="0031666A">
      <w:pPr>
        <w:spacing w:after="0"/>
        <w:ind w:firstLine="709"/>
        <w:jc w:val="both"/>
      </w:pPr>
      <w:r w:rsidRPr="00B63BE1">
        <w:t xml:space="preserve">Używam marihuany okazjonalnie od wielu lat i nie wpływa ona negatywnie na moje funkcjonowanie w społeczeństwie. </w:t>
      </w:r>
      <w:r w:rsidR="00BC1D10" w:rsidRPr="00B63BE1">
        <w:t xml:space="preserve">Z zawodu jestem architektem, mam żonę oraz dwójkę dzieci. Używanie suszu konopi nie powoduje </w:t>
      </w:r>
      <w:r w:rsidR="003C061E" w:rsidRPr="00B63BE1">
        <w:t xml:space="preserve">u mnie </w:t>
      </w:r>
      <w:r w:rsidR="00BC1D10" w:rsidRPr="00B63BE1">
        <w:t xml:space="preserve">powstawania problemów ani na poziomie zawodowym, ani na poziomie rodzinnym czy towarzyskim. </w:t>
      </w:r>
    </w:p>
    <w:p w:rsidR="007D10C8" w:rsidRPr="00B63BE1" w:rsidRDefault="0031666A" w:rsidP="0031666A">
      <w:pPr>
        <w:spacing w:after="0"/>
        <w:ind w:firstLine="709"/>
        <w:jc w:val="both"/>
      </w:pPr>
      <w:r w:rsidRPr="00B63BE1">
        <w:t xml:space="preserve">Nigdy nie sprzedawałem marihuany, moje posiadanie miało charakter </w:t>
      </w:r>
      <w:r w:rsidRPr="00B63BE1">
        <w:rPr>
          <w:b/>
        </w:rPr>
        <w:t>wyłącznie konsumencki.</w:t>
      </w:r>
      <w:r w:rsidRPr="00B63BE1">
        <w:t xml:space="preserve"> </w:t>
      </w:r>
      <w:r w:rsidR="00EA2374" w:rsidRPr="00B63BE1">
        <w:t>Nie jestem w związku z tym</w:t>
      </w:r>
      <w:r w:rsidR="005C07E0" w:rsidRPr="00B63BE1">
        <w:t xml:space="preserve"> przedmiotem zainteresowania</w:t>
      </w:r>
      <w:r w:rsidR="00EA2374" w:rsidRPr="00B63BE1">
        <w:t xml:space="preserve"> organów ścigania, </w:t>
      </w:r>
      <w:r w:rsidR="005C07E0" w:rsidRPr="00B63BE1">
        <w:t xml:space="preserve">bowiem </w:t>
      </w:r>
      <w:r w:rsidR="00EA2374" w:rsidRPr="00B63BE1">
        <w:t xml:space="preserve">zgodnie z uzasadnieniem </w:t>
      </w:r>
      <w:r w:rsidR="00981105" w:rsidRPr="00B63BE1">
        <w:t xml:space="preserve">nowelizacji </w:t>
      </w:r>
      <w:r w:rsidR="00EA2374" w:rsidRPr="00B63BE1">
        <w:t xml:space="preserve">ustawy o przeciwdziałaniu narkomanii </w:t>
      </w:r>
      <w:r w:rsidR="00981105" w:rsidRPr="00B63BE1">
        <w:t xml:space="preserve">z 2000 r., </w:t>
      </w:r>
      <w:r w:rsidR="00EA2374" w:rsidRPr="00B63BE1">
        <w:t>przepisy o karaniu za posiadanie miały na celu umożliwić policji zatrzy</w:t>
      </w:r>
      <w:r w:rsidR="005C07E0" w:rsidRPr="00B63BE1">
        <w:t xml:space="preserve">mywanie </w:t>
      </w:r>
      <w:r w:rsidR="005C07E0" w:rsidRPr="00B63BE1">
        <w:rPr>
          <w:u w:val="single"/>
        </w:rPr>
        <w:t xml:space="preserve">handlarzy </w:t>
      </w:r>
      <w:r w:rsidR="005C07E0" w:rsidRPr="00B63BE1">
        <w:t>posiadających ze sobą niewielkie ilości (miał to być tzw. „</w:t>
      </w:r>
      <w:r w:rsidR="005A68B3" w:rsidRPr="00B63BE1">
        <w:t>bicz na dilerów</w:t>
      </w:r>
      <w:r w:rsidR="005C07E0" w:rsidRPr="00B63BE1">
        <w:t>”)</w:t>
      </w:r>
      <w:r w:rsidR="007D10C8" w:rsidRPr="00B63BE1">
        <w:t>, nie zaś użytkowników narkotyków</w:t>
      </w:r>
      <w:r w:rsidR="0054420E" w:rsidRPr="00B63BE1">
        <w:t>. Projekt tego uzasadnienia wyjaśniał m.in.: „(…) z doświadczenia policyjnego wynika, że dealerzy rozprowadzający środki odurzające często posiadają przy sobie tylko niewielkie ilości. Jednoznacznie stwierdzić należy, że zapis art.</w:t>
      </w:r>
      <w:r w:rsidR="00CA2E29" w:rsidRPr="00B63BE1">
        <w:t xml:space="preserve"> 48 ust. 4 nie uła</w:t>
      </w:r>
      <w:r w:rsidR="0054420E" w:rsidRPr="00B63BE1">
        <w:t>twia walki z handlarzami i dealerami (…).</w:t>
      </w:r>
      <w:r w:rsidR="00EE6573" w:rsidRPr="00B63BE1">
        <w:rPr>
          <w:rStyle w:val="Odwoanieprzypisudolnego"/>
        </w:rPr>
        <w:footnoteReference w:id="2"/>
      </w:r>
      <w:r w:rsidR="00EE6573" w:rsidRPr="00B63BE1">
        <w:t xml:space="preserve"> </w:t>
      </w:r>
      <w:r w:rsidR="009F0C8D" w:rsidRPr="00B63BE1">
        <w:t>Tezę tę</w:t>
      </w:r>
      <w:r w:rsidR="00EE6573" w:rsidRPr="00B63BE1">
        <w:t xml:space="preserve"> potwierdz</w:t>
      </w:r>
      <w:r w:rsidR="00CA2E29" w:rsidRPr="00B63BE1">
        <w:t>ał</w:t>
      </w:r>
      <w:r w:rsidR="00EE6573" w:rsidRPr="00B63BE1">
        <w:t xml:space="preserve">a </w:t>
      </w:r>
      <w:r w:rsidR="009F0C8D" w:rsidRPr="00B63BE1">
        <w:t xml:space="preserve">również </w:t>
      </w:r>
      <w:r w:rsidR="00EE6573" w:rsidRPr="00B63BE1">
        <w:lastRenderedPageBreak/>
        <w:t xml:space="preserve">w licznych wywiadach jedna z inicjatorek tejże nowelizacji, ówczesna minister </w:t>
      </w:r>
      <w:r w:rsidR="00CA2E29" w:rsidRPr="00B63BE1">
        <w:t xml:space="preserve">prezydencka </w:t>
      </w:r>
      <w:r w:rsidR="00EE6573" w:rsidRPr="00B63BE1">
        <w:t xml:space="preserve">Barbara Labuda. </w:t>
      </w:r>
    </w:p>
    <w:p w:rsidR="00571DB5" w:rsidRPr="00B63BE1" w:rsidRDefault="007D10C8" w:rsidP="0031666A">
      <w:pPr>
        <w:spacing w:after="0"/>
        <w:ind w:firstLine="709"/>
        <w:jc w:val="both"/>
        <w:rPr>
          <w:rFonts w:cs="Times New Roman"/>
        </w:rPr>
      </w:pPr>
      <w:r w:rsidRPr="00B63BE1">
        <w:t xml:space="preserve"> Zwrócił na to uwagę również </w:t>
      </w:r>
      <w:r w:rsidRPr="00B63BE1">
        <w:rPr>
          <w:rFonts w:cs="Times New Roman"/>
        </w:rPr>
        <w:t>Sąd Najwyższy w wyroku z 21 stycznia 2009 r.</w:t>
      </w:r>
      <w:r w:rsidR="009F0C8D" w:rsidRPr="00B63BE1">
        <w:rPr>
          <w:rFonts w:cs="Times New Roman"/>
        </w:rPr>
        <w:t>,</w:t>
      </w:r>
      <w:r w:rsidRPr="00B63BE1">
        <w:rPr>
          <w:rFonts w:cs="Times New Roman"/>
        </w:rPr>
        <w:t xml:space="preserve"> podjął</w:t>
      </w:r>
      <w:r w:rsidR="00193B56" w:rsidRPr="00B63BE1">
        <w:rPr>
          <w:rFonts w:cs="Times New Roman"/>
        </w:rPr>
        <w:t xml:space="preserve"> wówczas</w:t>
      </w:r>
      <w:r w:rsidRPr="00B63BE1">
        <w:rPr>
          <w:rFonts w:cs="Times New Roman"/>
        </w:rPr>
        <w:t xml:space="preserve"> próbę rozróżnienia posiadania substancji psychoaktywnej w celach konsumpcyjnych od posiadania w celach komercyjnych. Zasadniczą t</w:t>
      </w:r>
      <w:r w:rsidR="009F0C8D" w:rsidRPr="00B63BE1">
        <w:rPr>
          <w:rFonts w:cs="Times New Roman"/>
        </w:rPr>
        <w:t>ezą tego wyroku jest</w:t>
      </w:r>
      <w:r w:rsidRPr="00B63BE1">
        <w:rPr>
          <w:rFonts w:cs="Times New Roman"/>
        </w:rPr>
        <w:t xml:space="preserve"> sentencja: „Dysponowanie środkiem odurzającym (lub substancją psychotropową) związane z zażywaniem go lub chęcią niezwłocznego zażycia przez osobę dysponującą nim, nie jest posiadaniem tego środka (lub substancji) w rozumieniu art. 62 ust. 1 ustawy z dnia 29 lipca 2005 r. o przeciwdziałaniu narkomanii”</w:t>
      </w:r>
      <w:r w:rsidR="009F0C8D" w:rsidRPr="00B63BE1">
        <w:rPr>
          <w:rFonts w:cs="Times New Roman"/>
        </w:rPr>
        <w:t xml:space="preserve">. </w:t>
      </w:r>
      <w:r w:rsidR="00193B56" w:rsidRPr="00B63BE1">
        <w:rPr>
          <w:rFonts w:cs="Times New Roman"/>
        </w:rPr>
        <w:t>Sąd Najwyższy, mając na uwadze fakt, że ofiarami regulacji art. 62 padają najczęściej drobni konsumenci, podjął się więc rozgraniczenia posiadania karalnego (komercyjnego) od posiadania konsumenckiego, niezwiązanego z zamiarem sprzedaży. SN mając na uwadze cel regulacji art. 62 UPN jakim jest ściganie poważnej przestępczości narkotykowej uznał, że „posiadaniem” w rozumieniu tego przepisu nie jest dzierżenie narkotyku w trakcie jego zażywania lub bezpośrednio przed zażyciem, tym samym odrzucając jednolitość tego pojęcia na gruncie cywilistycznym</w:t>
      </w:r>
      <w:r w:rsidR="00193B56" w:rsidRPr="00B63BE1">
        <w:rPr>
          <w:rStyle w:val="Odwoanieprzypisudolnego"/>
          <w:rFonts w:cs="Times New Roman"/>
        </w:rPr>
        <w:footnoteReference w:id="3"/>
      </w:r>
      <w:r w:rsidR="00193B56" w:rsidRPr="00B63BE1">
        <w:rPr>
          <w:rFonts w:cs="Times New Roman"/>
        </w:rPr>
        <w:t>.</w:t>
      </w:r>
      <w:r w:rsidR="003C061E" w:rsidRPr="00B63BE1">
        <w:rPr>
          <w:rFonts w:cs="Times New Roman"/>
        </w:rPr>
        <w:t xml:space="preserve"> </w:t>
      </w:r>
    </w:p>
    <w:p w:rsidR="003C061E" w:rsidRPr="00B63BE1" w:rsidRDefault="003C061E" w:rsidP="0031666A">
      <w:pPr>
        <w:spacing w:after="0"/>
        <w:ind w:firstLine="709"/>
        <w:jc w:val="both"/>
        <w:rPr>
          <w:rFonts w:cs="Times New Roman"/>
        </w:rPr>
      </w:pPr>
      <w:r w:rsidRPr="00B63BE1">
        <w:rPr>
          <w:rFonts w:cs="Times New Roman"/>
        </w:rPr>
        <w:t xml:space="preserve">Ponadto, starając się przeciwdziałać fali </w:t>
      </w:r>
      <w:r w:rsidR="004C1AE4" w:rsidRPr="00B63BE1">
        <w:rPr>
          <w:rFonts w:cs="Times New Roman"/>
        </w:rPr>
        <w:t xml:space="preserve">ok. </w:t>
      </w:r>
      <w:r w:rsidRPr="00B63BE1">
        <w:rPr>
          <w:rFonts w:cs="Times New Roman"/>
        </w:rPr>
        <w:t xml:space="preserve">35.000 zatrzymań rocznie </w:t>
      </w:r>
      <w:r w:rsidR="004C1AE4" w:rsidRPr="00B63BE1">
        <w:rPr>
          <w:rFonts w:cs="Times New Roman"/>
        </w:rPr>
        <w:t xml:space="preserve">(i w konsekwencji skazań) </w:t>
      </w:r>
      <w:r w:rsidRPr="00B63BE1">
        <w:rPr>
          <w:rFonts w:cs="Times New Roman"/>
        </w:rPr>
        <w:t xml:space="preserve">związanych </w:t>
      </w:r>
      <w:r w:rsidR="004C1AE4" w:rsidRPr="00B63BE1">
        <w:rPr>
          <w:rFonts w:cs="Times New Roman"/>
        </w:rPr>
        <w:t>z realizacją art. 62 UoPN, również nasz ustawodawca postanowił dać wyraźny przekaz c/d pożądanego sposobu stosowania przepisu o karaniu za posiadanie. Owocem tych prac jest art. 62a</w:t>
      </w:r>
      <w:r w:rsidR="007A6EE1" w:rsidRPr="00B63BE1">
        <w:rPr>
          <w:rFonts w:cs="Times New Roman"/>
        </w:rPr>
        <w:t xml:space="preserve"> UoPN, który daje możliwość prokuratorowi umorzenia postępowania karnego w przypadku spełnienia kumulatywnie 3 przesłanek:</w:t>
      </w:r>
    </w:p>
    <w:p w:rsidR="007A6EE1" w:rsidRPr="00B63BE1" w:rsidRDefault="002B7FCB" w:rsidP="007A6EE1">
      <w:pPr>
        <w:pStyle w:val="Akapitzlist"/>
        <w:numPr>
          <w:ilvl w:val="0"/>
          <w:numId w:val="4"/>
        </w:numPr>
        <w:spacing w:after="0"/>
        <w:jc w:val="both"/>
      </w:pPr>
      <w:r w:rsidRPr="00B63BE1">
        <w:t>n</w:t>
      </w:r>
      <w:r w:rsidR="007A6EE1" w:rsidRPr="00B63BE1">
        <w:t>ieznaczna</w:t>
      </w:r>
      <w:r w:rsidRPr="00B63BE1">
        <w:t xml:space="preserve"> ilość substancji</w:t>
      </w:r>
    </w:p>
    <w:p w:rsidR="007A6EE1" w:rsidRPr="00B63BE1" w:rsidRDefault="007A6EE1" w:rsidP="007A6EE1">
      <w:pPr>
        <w:pStyle w:val="Akapitzlist"/>
        <w:numPr>
          <w:ilvl w:val="0"/>
          <w:numId w:val="4"/>
        </w:numPr>
        <w:spacing w:after="0"/>
        <w:jc w:val="both"/>
      </w:pPr>
      <w:r w:rsidRPr="00B63BE1">
        <w:t>p</w:t>
      </w:r>
      <w:r w:rsidR="002B7FCB" w:rsidRPr="00B63BE1">
        <w:t>rzeznaczenie</w:t>
      </w:r>
      <w:r w:rsidRPr="00B63BE1">
        <w:t xml:space="preserve"> narkotyku na własny użytek </w:t>
      </w:r>
    </w:p>
    <w:p w:rsidR="002B7FCB" w:rsidRPr="00B63BE1" w:rsidRDefault="007A6EE1" w:rsidP="002B7FCB">
      <w:pPr>
        <w:pStyle w:val="Akapitzlist"/>
        <w:numPr>
          <w:ilvl w:val="0"/>
          <w:numId w:val="4"/>
        </w:numPr>
        <w:spacing w:after="0"/>
        <w:jc w:val="both"/>
      </w:pPr>
      <w:r w:rsidRPr="00B63BE1">
        <w:t>niecelowość orzeczenia kary</w:t>
      </w:r>
    </w:p>
    <w:p w:rsidR="002B7FCB" w:rsidRPr="00B63BE1" w:rsidRDefault="002B7FCB" w:rsidP="002B7FCB">
      <w:pPr>
        <w:spacing w:after="0"/>
        <w:ind w:left="360"/>
        <w:jc w:val="both"/>
      </w:pPr>
      <w:r w:rsidRPr="00B63BE1">
        <w:t>Nie ulega wątpliwości, że w moim przypadku spełnione są wszystkie 3 w/w przesłanki.</w:t>
      </w:r>
    </w:p>
    <w:p w:rsidR="002B7FCB" w:rsidRPr="00B63BE1" w:rsidRDefault="002B7FCB" w:rsidP="002B7FCB">
      <w:pPr>
        <w:spacing w:after="0"/>
        <w:jc w:val="both"/>
      </w:pPr>
      <w:r w:rsidRPr="00B63BE1">
        <w:t>Ilość posiadanej przeze mnie substancji była wystarczająca do jednorazowego odurzenia</w:t>
      </w:r>
      <w:r w:rsidR="00CA2E29" w:rsidRPr="00B63BE1">
        <w:t xml:space="preserve"> się</w:t>
      </w:r>
      <w:r w:rsidRPr="00B63BE1">
        <w:t>, zbliżona w swoim potencjale odurzającym do kilku bute</w:t>
      </w:r>
      <w:r w:rsidR="00146E1D" w:rsidRPr="00B63BE1">
        <w:t xml:space="preserve">lek piwa. Z ustaleń policji </w:t>
      </w:r>
      <w:r w:rsidRPr="00B63BE1">
        <w:t xml:space="preserve">wynika również </w:t>
      </w:r>
      <w:r w:rsidR="00146E1D" w:rsidRPr="00B63BE1">
        <w:t>konsumpcyjny charakter tego posiadania, w trakcie prowadzonego dochodzenia nie ustalono żadnego potencjalnego nabywcy tych narkotyków, mimo że został przejrzany mój telefon komórkowy pod kątem ustalenia ewentualnych transakcji</w:t>
      </w:r>
      <w:r w:rsidR="00CA2E29" w:rsidRPr="00B63BE1">
        <w:t xml:space="preserve"> oraz zostało przeszukane moje mieszkanie</w:t>
      </w:r>
      <w:r w:rsidR="00146E1D" w:rsidRPr="00B63BE1">
        <w:t xml:space="preserve">. Po trzecie orzeczenie wobec mnie kary, mając na uwadze nie budzące wątpliwości okoliczności popełnienia czynu oraz stopień szkodliwości społecznej – byłoby zdecydowanie niecelowe. </w:t>
      </w:r>
    </w:p>
    <w:p w:rsidR="00146E1D" w:rsidRPr="00B63BE1" w:rsidRDefault="00146E1D" w:rsidP="002B7FCB">
      <w:pPr>
        <w:spacing w:after="0"/>
        <w:jc w:val="both"/>
        <w:rPr>
          <w:sz w:val="20"/>
        </w:rPr>
      </w:pPr>
      <w:r w:rsidRPr="00B63BE1">
        <w:tab/>
        <w:t xml:space="preserve">W związku ze zbiegiem dwóch podstaw prawnych do umorzenia prowadzonego dochodzenia w tutejszej prokuraturze, wnoszę jak na wstępie. </w:t>
      </w:r>
    </w:p>
    <w:p w:rsidR="00146E1D" w:rsidRPr="00B63BE1" w:rsidRDefault="00146E1D" w:rsidP="002B7FCB">
      <w:pPr>
        <w:spacing w:after="0"/>
        <w:jc w:val="both"/>
      </w:pPr>
    </w:p>
    <w:p w:rsidR="00B63BE1" w:rsidRDefault="00B63BE1" w:rsidP="00146E1D">
      <w:pPr>
        <w:spacing w:after="0"/>
        <w:jc w:val="right"/>
      </w:pPr>
    </w:p>
    <w:p w:rsidR="00146E1D" w:rsidRPr="00B63BE1" w:rsidRDefault="00146E1D" w:rsidP="00146E1D">
      <w:pPr>
        <w:spacing w:after="0"/>
        <w:jc w:val="right"/>
      </w:pPr>
      <w:r w:rsidRPr="00B63BE1">
        <w:t>Z poważaniem,</w:t>
      </w:r>
    </w:p>
    <w:p w:rsidR="00146E1D" w:rsidRPr="00B63BE1" w:rsidRDefault="00146E1D" w:rsidP="00146E1D">
      <w:pPr>
        <w:spacing w:after="0"/>
        <w:jc w:val="right"/>
      </w:pPr>
    </w:p>
    <w:p w:rsidR="00146E1D" w:rsidRPr="00B63BE1" w:rsidRDefault="00146E1D" w:rsidP="00146E1D">
      <w:pPr>
        <w:spacing w:after="0"/>
        <w:jc w:val="right"/>
      </w:pPr>
      <w:r w:rsidRPr="00B63BE1">
        <w:t>Maria Konopnicka</w:t>
      </w:r>
    </w:p>
    <w:p w:rsidR="008D1930" w:rsidRPr="006C3DA6" w:rsidRDefault="008D1930" w:rsidP="00744743">
      <w:pPr>
        <w:tabs>
          <w:tab w:val="left" w:pos="5670"/>
        </w:tabs>
        <w:spacing w:after="0"/>
        <w:jc w:val="both"/>
      </w:pPr>
    </w:p>
    <w:sectPr w:rsidR="008D1930" w:rsidRPr="006C3DA6" w:rsidSect="00A1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BE" w:rsidRDefault="001B02BE" w:rsidP="007D10C8">
      <w:pPr>
        <w:spacing w:after="0" w:line="240" w:lineRule="auto"/>
      </w:pPr>
      <w:r>
        <w:separator/>
      </w:r>
    </w:p>
  </w:endnote>
  <w:endnote w:type="continuationSeparator" w:id="1">
    <w:p w:rsidR="001B02BE" w:rsidRDefault="001B02BE" w:rsidP="007D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BE" w:rsidRDefault="001B02BE" w:rsidP="007D10C8">
      <w:pPr>
        <w:spacing w:after="0" w:line="240" w:lineRule="auto"/>
      </w:pPr>
      <w:r>
        <w:separator/>
      </w:r>
    </w:p>
  </w:footnote>
  <w:footnote w:type="continuationSeparator" w:id="1">
    <w:p w:rsidR="001B02BE" w:rsidRDefault="001B02BE" w:rsidP="007D10C8">
      <w:pPr>
        <w:spacing w:after="0" w:line="240" w:lineRule="auto"/>
      </w:pPr>
      <w:r>
        <w:continuationSeparator/>
      </w:r>
    </w:p>
  </w:footnote>
  <w:footnote w:id="2">
    <w:p w:rsidR="00EE6573" w:rsidRPr="00EE6573" w:rsidRDefault="00EE6573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Krajewski K., </w:t>
      </w:r>
      <w:r>
        <w:rPr>
          <w:i/>
        </w:rPr>
        <w:t xml:space="preserve">Sens i bezsens prohibicji. Prawo karne wobec narkotyków i narkomanii. Zakamycze 2001, </w:t>
      </w:r>
      <w:r w:rsidRPr="00EE6573">
        <w:t>s. 448.</w:t>
      </w:r>
      <w:r>
        <w:rPr>
          <w:i/>
        </w:rPr>
        <w:t xml:space="preserve"> </w:t>
      </w:r>
    </w:p>
  </w:footnote>
  <w:footnote w:id="3">
    <w:p w:rsidR="00193B56" w:rsidRDefault="00193B56">
      <w:pPr>
        <w:pStyle w:val="Tekstprzypisudolnego"/>
      </w:pPr>
      <w:r>
        <w:rPr>
          <w:rStyle w:val="Odwoanieprzypisudolnego"/>
        </w:rPr>
        <w:footnoteRef/>
      </w:r>
      <w:r>
        <w:t xml:space="preserve"> M. Klinowski, </w:t>
      </w:r>
      <w:r>
        <w:rPr>
          <w:i/>
        </w:rPr>
        <w:t xml:space="preserve">Karalne posiadanie narkotyków w orzecznictwie Sądu Najwyższego, </w:t>
      </w:r>
      <w:r>
        <w:t>Państwo i Prawo 7/2010, s. 31-44.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5E"/>
    <w:multiLevelType w:val="hybridMultilevel"/>
    <w:tmpl w:val="A4DC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F22"/>
    <w:multiLevelType w:val="hybridMultilevel"/>
    <w:tmpl w:val="9A5429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7E"/>
    <w:rsid w:val="00060976"/>
    <w:rsid w:val="000C2779"/>
    <w:rsid w:val="00146E1D"/>
    <w:rsid w:val="00193B56"/>
    <w:rsid w:val="001B02BE"/>
    <w:rsid w:val="00215F0A"/>
    <w:rsid w:val="00222BC3"/>
    <w:rsid w:val="00292F42"/>
    <w:rsid w:val="002B7FCB"/>
    <w:rsid w:val="0031666A"/>
    <w:rsid w:val="003C061E"/>
    <w:rsid w:val="004C1AE4"/>
    <w:rsid w:val="00505A92"/>
    <w:rsid w:val="0054420E"/>
    <w:rsid w:val="00571DB5"/>
    <w:rsid w:val="00593A70"/>
    <w:rsid w:val="005A68B3"/>
    <w:rsid w:val="005C07E0"/>
    <w:rsid w:val="00652ADB"/>
    <w:rsid w:val="00680C94"/>
    <w:rsid w:val="006C3DA6"/>
    <w:rsid w:val="006D1582"/>
    <w:rsid w:val="00735578"/>
    <w:rsid w:val="00744743"/>
    <w:rsid w:val="00781D97"/>
    <w:rsid w:val="007A6EE1"/>
    <w:rsid w:val="007D10C8"/>
    <w:rsid w:val="008370A5"/>
    <w:rsid w:val="008666F6"/>
    <w:rsid w:val="00870AF3"/>
    <w:rsid w:val="008D1930"/>
    <w:rsid w:val="00981105"/>
    <w:rsid w:val="009B10C5"/>
    <w:rsid w:val="009F0C8D"/>
    <w:rsid w:val="00A077CA"/>
    <w:rsid w:val="00A108A5"/>
    <w:rsid w:val="00A22C8B"/>
    <w:rsid w:val="00A96E54"/>
    <w:rsid w:val="00AE617E"/>
    <w:rsid w:val="00AE7EF8"/>
    <w:rsid w:val="00B63BE1"/>
    <w:rsid w:val="00B644D6"/>
    <w:rsid w:val="00B709F6"/>
    <w:rsid w:val="00BC1D10"/>
    <w:rsid w:val="00C63819"/>
    <w:rsid w:val="00C903CE"/>
    <w:rsid w:val="00CA2E29"/>
    <w:rsid w:val="00CA6B89"/>
    <w:rsid w:val="00CB2F21"/>
    <w:rsid w:val="00D036FC"/>
    <w:rsid w:val="00D220B3"/>
    <w:rsid w:val="00E80A80"/>
    <w:rsid w:val="00EA2374"/>
    <w:rsid w:val="00EE6573"/>
    <w:rsid w:val="00F2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1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FD65-1DD3-46C6-B132-5B915AB7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2012-03-11T18:20:00Z</dcterms:created>
  <dcterms:modified xsi:type="dcterms:W3CDTF">2012-03-11T21:18:00Z</dcterms:modified>
</cp:coreProperties>
</file>